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F7" w:rsidRPr="008E2AF7" w:rsidRDefault="008E2AF7" w:rsidP="008E2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Декларация Бразилиа </w:t>
      </w:r>
      <w:r w:rsidRPr="008E2AF7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Одиннадцатого саммита БРИКС</w:t>
      </w:r>
    </w:p>
    <w:p w:rsidR="008E2AF7" w:rsidRDefault="008E2AF7" w:rsidP="008E2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Бразилиа, Бразилия, 14 ноября 2019 года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Преамбула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bookmarkStart w:id="0" w:name="_GoBack"/>
      <w:bookmarkEnd w:id="0"/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1. Мы, главы государств и правительств Федеративной Республики Бразилии, Российской Федерации, Республики Индии, Китайской Народной Республики и Южно-Африканской Республики, встретились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Бразилия, 14 ноября 2019 года на Одиннадцатом саммите БРИКС, который прошел под девизом «БРИКС: Экономический рост для инновационного будущего».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 Будучи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лидерами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динамично развивающихся стран, мы подтверждаем свою твердую приверженность принципам суверенитета, взаимного уважения и равенства, а также общей цели формирования мирного, стабильного и процветающего мира. Эти концепции, ценности и задачи обеспечивают прочную основу и четкие ориентиры для развития нашего взаимовыгодного и прагматичного сотрудничества. Учитывая итоги предыдущих саммитов БРИКС по трем ключевым направлениям – в сферах экономики, мира и безопасности и гуманитарных обменов, – мы продолжим углублять сотрудничество в рамках объединения в целях обеспечения благополучия и процветания наших народов, а также укрепления традиционных дружеских связей между нашими странами.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3. Мы удовлетворены результатами председательства БРИКС в 2019 году (Приложение I). Мы отмечаем, что в этом году было проведено более ста встреч (Приложение II). Мы приветствуем итоги состоявшихся в текущем году заседаний министров и совещаний высокого уровня по вопросам финансов, торговли, международных отношений, национальной безопасности, связи, окружающей среды, труда и занятости, науки,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технологий и инноваций, энергетики, сельского хозяйства, здравоохранения и культуры. Мы также отмечаем Встречу Совета управляющих Нового банка развития (НБР).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4. Мы приветствуем, помимо прочих достижений, создание Сети инновационных исследований БРИКС, принятие концепции «Новой архитектуры БРИКС в сфере науки, технологий и инноваций (НТИ)», которая будет реализовываться через Управляющий комитет НТИ БРИКС,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 Положения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оПлатформе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энергетических исследований БРИКС. Мы также одобряем проведение Семинара о стратегиях стран БРИКС в борьбе с терроризмом, Семинара по вопросам банков донорского молока в странах БРИКС и Встречи Антикоррупционной рабочей группы (АКГ) стран БРИКС по проблематике возвращения преступных активов. Мы высоко оцениваем подписание Меморандума о взаимопонимании между национальными агентствами по содействию торговле и инвестициям и создание Женского делового альянса БРИКС (ЖДА БРИКС). Мы также придаем большое значение утверждению Программы совместных исследований туберкулеза и другим инициативам председательства в БРИКС в 2019 году.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Укрепление и реформирование многосторонней системы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5. Мы остаемся приверженными принципам многосторонности, сотрудничеству суверенных государств в области поддержания мира и безопасности, продвижению устойчивого развития, обеспечению поощрения и защиты прав человека и основных свобод для всех, а также построению безоблачного будущего для всего мирового сообщества. Мы вновь подтверждаем свое обязательство содействовать преодолению значительных трудностей, с которыми в настоящее время сталкивается многосторонняя система, а также поддерживать центральную роль ООН в международных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делах и соблюдать нормы международного права, включая Устав Организации Объединенных Наций, его цели и принципы.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6. Мы вновь отмечаем острую необходимость укрепления и реформирования многосторонней системы, включая ООН, ВТО, МВФ и другие международные организации. Мы продолжим работу по повышению ее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инклюзивности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демократичности и представительности, в том числе посредством расширения участия госуда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рств с 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ормирующимися рынками и развивающихся стран в процессе принятия международных решений. Мы вновь подтверждаем свою приверженность формированию более честного, справедливого, равноправного и представительного многополярного миропорядка. Мы также подчеркиваем безоговорочность того факта, что ведущую роль в международных организациях должны играть государства-члены, а сами организации – учитывать интересы всех.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7. Мы напоминаем об итоговом документе Всемирного саммита 2005 года и вновь подтверждаем необходимость всеобъемлющей реформы ООН, включая ее Совет Безопасности, в целях повышения его представительности, эффективности и действенности, а также более широкой представленности в нем развивающихся стран, с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тем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чтобы он мог надлежащим образом реагировать на глобальные вызовы. Китай и Россия вновь заявляют о том, что они придают важное значение статусу и роли Бразилии, Инд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ии и ЮА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 в международных делах и поддерживают их стремление играть более весомую роль в ООН.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8. Мы заявляем о своей приверженности сбалансированному и комплексному обеспечению устойчивого развития в трех областях – экономике, социальной сфере и экологии. Граждане наших стран, включая жителей удаленных районов, заслуживают иметь доступ к достижениям устойчивого развития в полной мере. Международное сотрудничество в этой сфере, а также в других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областях, должно учитывать национальный суверенитет и внутренние правовые и институциональные рамки и механизмы, а также сложившиеся практики и процедуры.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9. Мы вновь заявляем о важности осуществления Повестки дня в области устойчивого развития на период до 2030 года и призываем удвоить усилия в целях ее своевременного выполнения. Мы настоятельно призываем развитые страны выполнять в полном объеме свои обязательства в рамках официальной помощи в целях развития и предоставлять развивающимся странам больше ресурсов для развития.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10. Мы вновь заявляем о своей приверженности осуществлению Парижского соглашения, принятого в соответствии с принципами Рамочной конвенц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ии ОО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Н об изменении климата (РКИК ООН), включая принципы общей, но дифференцированной ответственности и соответствующих возможностей, с учетом различных национальных условий. Мы призываем развитые страны, указанные в Приложении II, активизировать предоставление развивающимся государствам финансовой и технологической поддержки, а также помощи в области наращивания потенциала в целях содействия в деле предотвращения изменения климата и адаптации к нему. Мы ожидаем, что первое пополнение Зеленого климатического фонда, которое произойдет до конца 2019 года, значительно превысит объем первоначальной мобилизации ресурсов, обеспечив тем самым соответствие финансовых взносов амбициям, потребностям и приоритетам развивающихся стран. Мы также обязуемся работать в целях успешного проведения XXV Конференции сторон РКИК ООН, в частности достижения сбалансированных и всеобъемлющих результатов по всем оставшимся пунктам Рабочей программы Парижского соглашения.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11. Мы отмечаем Меморандум о взаимопонимании стран БРИКС в области региональной авиации и ценим сотрудничество между странами БРИКС в сфере гражданской авиации. Признавая важнейшую роль, которую играет авиационный сектор в государствах с формирующимися рынками, включая страны БРИКС, и отмечая возможное влияние Системы компенсации и сокращения выбросов углерода для международной авиации (CORSIA) на рост авиационного сектора, мы вновь заявляем о своей готовности совместно работать по пересмотру соответствующих рамочных договоренностей.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12. Мы привержены оказанию содействия и поддержки в разработке глобальной рамочной программы по сохранению биоразнообразия на период после 2020 года и успешному проведению XV совещания Конференции сторон Конвенции о биологическом разнообразии, которое состоится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Куньмине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Китаи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̆) в 2020 году. Мы продолжим расширять наш диалог и сотрудничество по вопросу согласования позиций в отношении биоразнообразия. Мы ожидаем, что в рамочной программе будет уделено равное внимание трем целям Конвенции о биологическом разнообразии и таким образом будут учтены зачастую игнорируемые вопросы устойчивого использования компонентов биологического разнообразия и получения на равной основе выгод и доступа к генетическим ресурсам.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13. Мы привержены осуществлению решений XIV сессии Конференции Сторон КБОООН в целях достижения к 2030 году ЦУР 15.3: вести борьбу с опустыниванием, восстановить деградировавшие земли и почвы, и стремиться к тому, чтобы во всем мире не ухудшалось состояние земель. Мы приветствуем расширение сотрудничества по линии Юг-Юг посредством создания в Индии центра по устойчивому восстановлению земель, обмена данными и информацией о программе по установлению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целей достижения нейтрального баланса деградации земель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 Мы отмечаем Декларацию Нью-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Дели об инвестициях в землю и новых возможностях и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Ордосскую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декларацию.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14. Мы выражаем серьезную обеспокоенность в связи с сохраняющимися угрозами для международного мира и безопасности и обязуемся работать над обеспечением устойчивого мира для всех в соответствии с Уставом Организации Объединенных Наций и всеми применимыми обязательствами. Мы вновь подтверждаем нашу приверженность принципам добросовестности, суверенного равенства государств, невмешательства во внутренние дела любого государства и обязанности сотрудничать в соответствии с Уставом ООН. Выполнение этих принципов исключает введение принудительных мер, не основанных на нормах международного права.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15. Мы подчеркиваем важность Конвенции о запрещении разработки, производства и накопления запасов бактериологического (биологического) и токсинного оружия и об их уничтожении (КБТО) как основы международной системы безопасности. Мы отмечаем необходимость соблюдения и укрепления КБТО, включая принятие Протокола к Конвенции, предусматривающего, в частности, эффективный верификационный механизм. Мы подтверждаем, что КБТО является ключевым инструментом в области биологического и токсинного оружия. Его функции, в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частности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касающиеся Совета Безопасности ООН, не должны дублироваться другими механизмами. Усилия по решению вопросов, связанных с имплементацией договоренностей, должны идти в русле КБТО.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16. Мы вновь заявляем о своей поддержке Организации по запрещению химического оружия (ОЗХО) и сохранению Конвенции о запрещении химического оружия (КЗХО) как эффективного инструмента в области разоружения и нераспространения. Мы подчеркиваем необходимость того,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чтобы государства – участники КЗХО выступали единым фронтом и вели конструктивный диалог в целях восстановления культуры консенсуса в ОЗХО.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17. Мы выражаем серьезную озабоченность в связи с возможной гонкой вооружений в космическом пространстве и вновь заявляем о необходимости осуществления деятельности по исследованию и мирному использованию космического пространства в соответствии с нормами международного права, включая Устав Организации Объединенных Наций. Мы подчеркиваем насущную необходимость в согласовании юридически обязывающего многостороннего документа, который сможет заполнить вакуум в международно-правовом режиме применительно к космическому пространству, включая предотвращение размещения оружия в космическом пространстве. Мы акцентируем, что практические меры обеспечения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транспарентности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укрепления доверия могут также способствовать достижению этой цели. В этой связи мы приветствуем соответствующую работу в рамках Группы правительственных экспертов ООН по предотвращению гонки вооружений в космическом пространстве (ПГВК) и выражаем сожаление, что она не смогла достичь консенсуса относительно своего доклада. Мы подчеркиваем, что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любой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инструмент по этому вопросу должен исключать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какую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бы то ни было дискриминацию и содержать оперативные положения о праве разрабатывать технологии для использования в мирных целях.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18. Мы подчеркиваем важность создания открытой, безопасной, мирной, стабильной, доступной и недискриминационной среды для использования информационно-коммуникационных технологий (ИКТ). Мы отмечаем важность общепризнанных под эгидой ООН норм, правил и принципов ответственного поведения госуда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рств в сф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ере использования ИКТ и поддерживаем центральную роль Организации Объединенных Наций в их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разработке. В этой связи мы приветствуем создание Рабочей группы ООН открытого состава по этому вопросу, а также начало работы вновь созданной Группы правительственных экспертов. Мы поддерживаем оба механизма и подчеркиваем, что процесс, предусматривающий работу по двум направлениям, может способствовать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взаимодополняемости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согласованности международных усилий в этой области.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19. Мы подтверждаем свою приверженность борьбе с использованием И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КТ в пр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еступных и террористических целях.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Для борьбы с возникающими в этой связи новыми вызовами и угрозами необходимо международное взаимодействие, в том числе организация дискуссий о его возможных новых рамках сотрудничества, среди которых – разработка универсального обязательного нормативного документа ООН об использовании ИКТ в преступных целях.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признаем прогресс, достигнутый странами БРИКС в области развития сотрудничества в рамках Рабочей группы экспертов (РГЭ) БРИКС по вопросам безопасности в сфере использования ИКТ. Доработано и одобрено Положение о деятельности РГ, продолжалась реализация Дорожной карты практического сотрудничества БРИКС в обеспечении безопасности в сфере использования ИКТ. Принимая во внимание итоги предыдущих саммитов БРИКС, мы вновь заявляем о важности создания правовой базы по вопросам сотрудничества между странами БРИКС в области обеспечения безопасности в сфере использования ИКТ и отмечаем усилия РГЭ БРИКС по рассмотрению и разработке предложений по этому вопросу. Мы принимаем к сведению предложение России о разработке соответствующего межправительственного соглашения БРИКС о сотрудничестве в сфере использования ИКТ и инициативу Бразилии о разработке двусторонних соглашений между странами БРИКС по указанной тематике.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20. Мы осуждаем терроризм во всех его формах и проявлениях, считаем, что он не должен ассоциироваться с какой-либо религией, национальностью или цивилизацией, и признаем, что террористические акты преступны и не имеют оправдания, независимо от их мотивов и от того, где и кем они были совершены. Мы настоятельно призываем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к объединению усилий по борьбе с терроризмом под эгидой ООН в соответствии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 нормами международного права, признаем ведущую роль государств и их компетентных органов в предотвращении терроризма и борьбе с ним и убеждены, что для эффективной борьбы с терроризмом необходим комплексный подход. Мы напоминаем об ответственности всех государств по предотвращению финансирования террористических сетей и террористических актов, в том числе с их территории. Мы также призываем к скорейшему завершению работы над всеобъемлющей конвенцией по борьбе с международным терроризмом и ее принятию ООН. Мы подчеркиваем важность предупреждения и пресечения финансирования терроризма и выполнения соответствующих резолюций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СБ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ООН, и в этой связи приветствуем принятие резолюции 2462 (2019) Совета Безопасности Организации. В ответ на угрозы химического и биологического терроризма мы подчеркиваем необходимость запуска многосторонних переговоров по международной конвенции о борьбе с актами химического и биологического терроризма, в том числе в рамках Конференц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ии ОО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Н по разоружению.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21. Мы отмечаем прогресс, достигнутый в области сотрудничества стран БРИКС по вопросам борьбы с терроризмом, и приветствуем итоги IV Заседания Рабочей группы БРИКС по антитеррору (РГАТ), включая создание тематических подгрупп и проведение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Семинара о стратегиях стран БРИКС в борьбе с терроризмом.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22. Мы вновь заявляем о своей приверженности борьбе с незаконными финансовыми потоками и тесному сотрудничеству в рамках Группы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разработки финансовых мер борьбы с отмыванием денег (ФАТФ) и региональных органов типа ФАТФ, а также других многосторонних, региональных и двусторонних площадок. Мы подчеркиваем важность поддержки целей ФАТФ и укрепления нашего сотрудничества в интересах реализации и совершенствования стандартов ФАТФ. Мы ценим и поощряем диалог между странами БРИКС по ключевым вопросам повестки дня по противодействию отмыванию денег и финансированию терроризма (ПОД/ФТ), принимая во внимание предложение об институционализации Совета БРИКС по вопросам ПОД/ФТ. Мы акцентируем важность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работы подразделений финансовой разведки стран объединения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Финансово-экономическое сотрудничество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23. Со времени нашей последней встречи наблюдается ослабление глобального экономического роста и повышение рисков экономического спада. Напряженность в торговых отношениях и политическая неопределенность сказываются на таких аспектах, как атмосфера доверия, торговля, инвестиции и экономический рост. В этой связи мы напоминаем о важности открытых рынков, честных, справедливых и недискриминационных условий ведения бизнеса и торговли, структурных реформ, эффективной и честной конкуренции, продвижения инвестиций и инноваций, а также финансирования инфраструктурных проектов и проектов в области развития. Мы подчеркиваем необходимость расширения участия развивающихся стран в глобальных цепочках добавленной стоимости. Мы продолжим сотрудничать в рамках «Группы двадцати» и продвигать интересы госуда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рств с 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ормирующимися рынками и развивающихся стран.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24. Отмечая, что страны БРИКС являются основной движущей силой глобального экономического роста в течение последнего десятилетия и в настоящее время на них приходится почти треть объемов мирового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производства, мы убеждены, что продолжение осуществления структурных реформ будет способствовать повышению потенциала экономического роста наших стран. Расширение торговли между участниками БРИКС будет и впредь способствовать усилению внешнеторговых потоков. Кроме того, мы выступаем за дальнейшее скоординированное использование налогово-бюджетных, кредитно-денежных и структурных инструментов экономической политики в целях обеспечения быстрого, устойчивого, сбалансированного и инклюзивного роста. Мы призываем крупные развитые страны и государства с формирующимися рынками продолжать политический диалог и координацию в рамках «Группы двадцати» и на других площадках для продвижения этих целей и устранения возможных рисков.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25. Мы подтверждаем свою приверженность укреплению глобальной системы финансовой безопасности при центральной роли Международного валютного фонда (МВФ), обладающего достаточными ресурсами и основанного на системе квот. Мы глубоко разочарованы тем, что 15-й общий обзор квот МВФ не привел к повышению квот Фонда или корректировке долей квот, и призываем МВФ ускорить в ближайшее время работу по вопросу квот государств-членов, в том числе в пользу госуда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рств с 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ормирующимися рынками и развивающихся стран, которые по-прежнему недостаточно представлены в Фонде. Мы также выступаем в поддержку усиления голоса наименее развитых государств – членов МВФ. Мы призываем МВФ приступить в рамках 16-ого общего обзора квот МВФ к работе по реформированию системы квот и системы управления на основе согласованных в 2010 году принципов со всей серьезностью и завершить ее в отведенные сроки.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26. Мы подтверждаем принципиальное значение основанной на правилах, прозрачной, недискриминационной, открытой, свободной и инклюзивной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системы международной торговли. Мы остаемся привержены сохранению и укреплению многосторонней торговой системы, воплощением которой является Всемирная торговая организация (ВТО). Крайне важно, чтобы все члены ВТО избегали протекционистских и односторонних мер, которые противоречат духу и правилам ВТО.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27. Мы признаем важность проведения давно назревшей реформы ВТО, особенно в преддверии XII министерской конференции ВТО, в целях повышения эффективности и актуальности деятельности Организации, а также ее потенциала для более успешного решения текущих и будущих проблем. Наши страны будут сотрудничать со всеми членами ВТО в целях продвижения процесса проведения необходимой реформы, которая должна быть сбалансированной, открытой и прозрачной и поощрять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инклюзивность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развитие. В рамках реформы должны быть сохранены, среди прочего, ее центральная роль, ключевые ценности и основополагающие принципы Организации и учтены интересы всех членов, включая развивающиеся государства и наименее развитые страны.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28. Мы подчеркиваем важность механизма урегулирования споров ВТО и его двухэтапной обязательной системы рассмотрения споров. Апелляционный орган ВТО имеет существенное значение для эффективного функционирования Организации в нормальном режиме и выполнения ее правил. Мы подчеркиваем необходимость выхода из тупика, в который зашел процесс отбора новых членов Апелляционного органа ВТО, и призываем всех членов согласиться приступить к процессу отбора в оперативном порядке.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29. Мы будем искать в рамках соответствующих форумов пути поощрения и стимулирования инвестиций в производственные сектора, электронную торговлю, малые, средние и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микропредприятия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инфраструктуру и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взаимосвязанность, что будет способствовать увеличению темпов экономического роста, развитию торговли и созданию рабочих мест. В этой связи мы намерены принимать во внимание национальные потребности и стратегии, в целях формирования более прозрачного и эффективного делового климата и создания более благоприятных условий для инвестиций.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30. Мы c удовлетворением отмечаем роль, которую играет Новый банк развития (НБР) в финансировании инфраструктурных проектов и проектов в области устойчивого развития. Мы особо подчеркиваем необходимость активизации усилий по созданию тщательно проработанного, сбалансированного и высококачественного портфеля проектов Банка. Кроме того, мы с гордостью отмечаем пятую годовщину подписания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Форталезе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(Бразилия) Соглашения о создании НБР и приветствуем предстоящий среднесрочный обзор Генеральной стратегии НБР.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31. Мы приветствуем открытие региональных центров НБР и запуск их деятельности в государствах БРИКС, в том числе учреждение Регионального центра НБР для Латинской Америки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.С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-Паулу и его подразделения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г.Бразилиа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 Мы также ожидаем открытия двух оставшихся региональных центров НБР в России и Индии в 2020 году. С учетом ключевых функций Штаб-квартиры Банка его региональные центры призваны способствовать расширению операций, подготовке тщательно проработанного портфеля проектов для всех государств-членов.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32.Мы отмечаем прогресс, достигнутый Новым банком развития по вопросу расширения его членского состава. Увеличение числа акционеров НБР в соответствии со Статьями соглашения НБР позволит укрепить роль Банка как международного учреждения по финансированию развития и будет и далее способствовать мобилизации ресурсов для инфраструктурных проектов и проектов в области устойчивого развития в странах БРИКС и других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государствах с формирующимися рынками и развивающихся странах. Мы ожидаем, что Совет управляющих завершит подготовительную работу для принятия своевременных и взвешенных решений по вопросам расширения в надлежащем порядке.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33. Мы также придаем большое значение другим ключевым инициативам в области сотрудничества БРИКС, включая Целевую рабочую группу стран объединения по вопросам государственно-частного партнерства и развития инфраструктуры, которая будет содействовать диалогу по вопросам инфраструктурных проектов, в том числе в рамках повестки дня «Группы двадцати» в области развития инфраструктуры; Механизм подготовки проектов НБР, эффективность которого повысится вместе с запуском первого пакета проектов в ближайшее время; пятисторонние усилия, направленные на расширение представленности развивающихся стран и госуда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рств с 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ормирующимися рынками в многосторонних банках развития.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34. Мы с удовлетворением отмечаем дальнейшие шаги, направленные на обеспечение операционной готовности Пула условных валютных резервов. Приветствуем завершение второго тестирования, с дополнительными элементами сложности – способности данного механизма по предоставлению средств, которые доступны стране-участнице Пула без наличия согласованной с МВФ стабилизационной программы, включая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обналичивание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средств.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35. Мы отмечаем прогресс в деле создания Фонда облигаций в национальных валютах стран БРИКС и ожидаем начала его операционной деятельности. Мы поддерживаем текущее сотрудничество в области развития рынков облигаций в национальных валютах. Мы продолжим контакты по другим возможным областям сотрудничества в валютной сфере в соответствии с мандатом центрального банка каждой страны.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36. Мы признаем важность Исследования БРИКС по вопросу международных платежных систем.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37. Мы положительно оцениваем прогресс по реализации Стратегии экономического партнерства БРИКС, в том числе в области обеспечения инновационного, устойчивого и инклюзивного экономического роста,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 ожидаем проведения ее обзора в ходе российского председательства в 2020 году. Мы с удовлетворением отмечаем успехи в области выполнения Плана действий БРИКС по торгово-экономическому сотрудничеству, содействие в проведении ряда мероприятий по обмену политикой и информацией, упрощению и поощрению торговли и инвестиций и разработке исследований о торговле. Мы приветствуем завершение Совместного исследования о взаимной торговле, которое помогло определить торгово-инвестиционный потенциал стран БРИКС, и поручаем министрам наших стран продолжать оказывать поддержку совместным инициативам в области сотрудничества между нашими государствами.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38. Мы приветствуем проведение Делового форума БРИКС и отмечаем усилия Делового совета БРИКС по поощрению торговли и инвестиций между его членами посредством развития сотрудничества в таких областях, как инфраструктура, производство, энергетика, сельское хозяйство, включая биотехнологии, финансовые услуги, региональная авиация, сближение технических стандартов, повышение квалификации кадров и цифровая экономика.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39. Мы приветствуем создание Женского делового альянса (ЖДА) БРИКС, целями которого являются повышение роли женщин как движущей силы экономического роста, содействие расширению экономических прав и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возможностей женщин в наших странах и обеспечение более четкого видения вопросов, представляющих интерес для деловых кругов стран БРИКС. Повестка дня ЖДА, методы его работы и другие вопросы, связанные с функционированием Альянса, будут определены его членами. Мы ожидаем, что от каждой страны в Альянс будет выбрано пять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членов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первая встреча ЖДА состоится как можно ранее в 2020 году.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40. Мы призываем Женский деловой альянс и Деловой совет БРИКС активно сотрудничать и координировать свою деятельность в целях расширения и повышения участия женщин во всех деловых инициативах БРИКС, включая Деловой совет.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Ситуация в регионах мира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41. Мы вновь заявляем о своей приверженности коллективным усилиям по мирному разрешению споров политическими и дипломатическими средствами и признаем роль Совета Безопасности ООН как органа, несущего основную ответственность за поддержание международного мира и безопасности.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42. В отношении ситуации в Сирийской Арабской Республике мы вновь заявляем о своей твердой приверженности суверенитету, независимости, единству и территориальной целостности страны. Мы убеждены, что сирийский конфликт не может быть разрешен военным путем. Мы также подтверждаем свою приверженность содействию инклюзивному политическому процессу под руководством и при активном участии самих сирийцев и при поддержке со стороны ООН в соответствии с резолюцией 2254 (2015) Совета Безопасности ООН. Мы заявляем о своей поддержке учреждения конституционного комитета, благодаря усилиям ООН, стран-гарантов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Астанинского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процесса и всех государств, участвующих в усилиях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по урегулированию конфликта политическими средствами. Мы призываем все стороны обеспечить беспрепятственное предоставление гуманитарной помощи и соблюдать в полном объеме и на устойчивой основе режим прекращения огня в провинции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Идлиб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который не распространяется на террористические группы и организации, признанные таковыми Советом Безопасности ООН. Мы подтверждаем международные обязательства по борьбе с терроризмом во всех его формах и проявлениях и подчеркиваем важность единства в борьбе с террористическими организациями в Сирии, признанными таковыми Советом Безопасности ООН. Страдания, которые испытывают уязвимые этнические религиозные общины и меньшинства, также вызывают озабоченность. Мы по-прежнему серьезно обеспокоены гуманитарной ситуацией в Сирии и рисками распространения терроризма и настоятельно призываем все стороны обеспечить доступ к гуманитарной помощи для всех сирийцев по всей стране без каких-либо условий. Принимая во внимание необходимость защиты гражданского населения в соответствии с нормами международного права в области прав человека и международного гуманитарного права на всей территории Сирии, мы приветствуем усилия по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деэскалации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кризиса на северо-востоке страны, в частности подписание Россией и Турцией 22 октября 2019 года Меморандума о взаимопонимании.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43. Мы заявляем о том, что продолжающийся конфликт и острейший гуманитарный кризис в Республике Йемен по-прежнему вызывает беспокойство и призываем стороны обеспечить оперативный, безопасный и беспрепятственный доступ гуманитарного персонала и грузов по всей стране. Мы признаем, что конфликт в Йемене серьезно сказывается на безопасности и стабильности всего региона и подтверждаем свою поддержку Стокгольмского процесса и усилий ООН, направленных на мирное разрешение конфликта при ведущей роли самих йеменцев под эгидой ООН.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44. Мы все решительно согласны с тем, что любые конфликты в регионе Ближнего Востока и Северной Африки не должны использоваться в качестве причины для затягивания урегулирования давнего палестино-израильского конфликта. Руководствуясь принятыми ранее международными рамками, такими как соответствующие резолюц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ии ОО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Н, Мадридские принципы и Арабская мирная инициатива, мы вновь заявляем, что решение, предусматривающее сосуществование двух государств, позволит израильтянам и палестинцам жить бок о бок в мире и безопасности. В этой связи мы также подчеркиваем необходимость новых и нестандартных дипломатических усилий по достижению справедливого и всеобъемлющего разрешения палестино-израильского конфликта в целях достижения мира и стабильности на Ближнем Востоке.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45. Мы выражаем серьезную озабоченность относительно продолжающегося кризиса в регионе Персидского залива, включая односторонние действия, и вновь заявляем о своей поддержке урегулирования существующих разногласий посредством переговоров и дипломатических усилий. Мы подчеркиваем необходимость продвижения позитивной и конструктивной повестки дня в регионе, предусматривающей совместное реагирование всех государств на угрозы и вызовы. Мы подчеркиваем, что государства-члены ООН обязаны, в соответствии со статьей 25 Устава ООН, принимать и выполнять решения Совета Безопасности.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46. Мы подтверждаем свою неизменную поддержку народу Афганистана в его усилиях по созданию стабильного, инклюзивного, мирного и процветающего государства. Мы твердо уверены в невозможности военного решения вооруженного конфликта в Афганистане. Мы вновь заявляем о своей поддержке мирного процесса и процесса национального примирения под руководством и активном участии самого афганского народа. Мы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выражаем обеспокоенность в связи с продолжающимися террористическими атаками.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47. Мы вновь заявляем о своей поддержке урегулирования ситуации на Корейском полуострове мирным путем, при помощи политико-дипломатических средств, а также достижению его полной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денуклеаризации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 Мы подчеркиваем важность поддержания мира и стабильности в Северо-Восточной Азии.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48. Мы высоко оцениваем усилия Африканского союза (АС) и субрегиональных организаций по решению региональных вопросов и урегулированию конфликтов в интересах мира и безопасности на континенте и вновь заявляем о важности сотрудничества между ООН и АС. Мы настоятельно призываем все стороны незамедлительно прекратить все боевые действия в Ливии и взаимодействовать с Организацией Объединенных Наций, Комитетом высокого уровня АС по Ливии и соответствующими заинтересованными сторонами в целях обеспечения всеобъемлющего и устойчивого урегулирования посредством политического процесса, осуществляемого под руководством и при активном участии самих ливийцев.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49. Мы поздравляем суданский народ с подписанием в Хартуме 17 августа 2019 года Политического соглашения и Конституционной декларации. Мы считаем, что это – важный шаг на пути к стабилизации политической ситуации в Судане. Мы отмечаем посреднические усилия Африканского союза и правительства Эфиопии, которые способствовали завершению переговоров.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Сотрудничество в рамках БРИКС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50. Мы приветствуем проведение Бразилией Полноформатного заседания министров иностранных дел/международных отношений стран БРИКС (СМИД БРИКС)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-де-Жанейро 26 июля 2019 года. Министры обменялись мнениями по ключевым глобальным политическим, экономическим и финансовым вопросам, вызывающим общую озабоченность, и о перспективах укрепления сотрудничества в рамках БРИКС.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Мы также приветствуем Встречу министров иностранных дел/международных отношений стран БРИКС на полях 74-й сессии Генеральной Ассамблеи ООН в рамках постоянного сотрудничества по представляющим взаимный интерес вопросам, в том числе посредством взаимодействия наших постоянных представительств при ООН.</w:t>
      </w:r>
      <w:proofErr w:type="gramEnd"/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51. Мы приветствуем IX Встречу Высоких представителей государств БРИКС, курирующих вопросы безопасности, которая состоялась в октябре 2019 года, и высоко оцениваем их усилия по углублению диалога в рамках БРИКС по вопросам борьбы с терроризмом, безопасности в сфере использования ИКТ, основных международных и региональных очагов напряженности, миротворчества и транснациональной организованной преступности.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52. Мы подчеркиваем важность сферы науки, технологий и инноваций (НТИ) как одной из основных движущих сил экономического роста, а также ключевого элемента формирования будущего наших стран. Мы приветствуем итоги VII Встречи министров науки, технологий и инноваций стран БРИКС и инициативы в области сотрудничества, которые способствуют развитию взаимодействия между исследователями, молодыми учеными и государственными органами, а также сближению инновационных экосистем наших стран. Мы удовлетворены результатами, достигнутыми в рамках выполнения Плана действий в области инноваций, таких как создание Сети инновационных исследований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БРИКС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ы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приветствуем утверждение Новой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архитектуры БРИКС в сфере науки, технологий и инноваций, целью которой является активизация совместной деятельности в области НТИ с помощью Управляющего комитета НТИ БРИКС.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53. Мы приветствуем итоги V Встречи министров связи стран БРИКС. Мы будем и далее укреплять совместную деятельность стран БРИКС, создавать новые возможности для сотрудничества, а также расширять и активизировать существующие партнерские отношения, включая принятие необходимых шагов для скорейшего создания Целевой рабочей группы БРИКС по вопросам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цифровизации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 Мы с удовлетворением отмечаем итоги первого заседания Совета Института стран БРИКС по изучению «сетей будущего».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54. Мы признаем, что Новая промышленная революция является важнейшей возможностью для развития, которой должны воспользоваться все страны на равных условиях, учитывая при этом связанные с ней вызовы. Мы с удовлетворением отмечаем прогресс в деле выполнения решения Йоханнесбургского саммита о налаживании полномасштабного функционирования Партнерства БРИКС по вопросам новой промышленной революции. Мы также приветствуем принятие Плана работы Партнерства БРИКС по вопросам новой промышленной революции и Положения о Консультативной группе Партнерства БРИКС по вопросам новой промышленной революции. Мы продолжим принимать взаимовыгодные инициативы по шести направлениям сотрудничества, которые определены в Плане работы Партнерства, в соответствии с договоренностями, принятыми на II Встрече Партнерства БРИКС по вопросам новой промышленной революции, состоявшейся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 сентябре 2019 года, включая создание промышленных и научных парков, инновационных центров, технологических бизнес-инкубаторов и сети коммерческих предприятий стран БРИКС.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55. Мы отмечаем прогресс, достигнутый на переговорах по разработке проекта Соглашения БРИКС по созданию группировки спутников по дистанционному зондированию Земли, и ожидаем его скорейшего заключения.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56. Мы признаем важнейшую роль энергетики в содействии социальному и экономическому развитию, а также в защите окружающей среды. Признавая, что преобразования в сфере энергетики уникальны в каждой стране в зависимости от ее национальных условий, мы подчеркиваем важность обеспечения доступа к чистой, устойчивой и недорогой энергии для всех слоев населения. В этой связи диверсификация источников энергии является основой обеспечения энергетической безопасности. Мы обязуемся продолжать эффективное использование ископаемых видов топлива и повысить долю возобновляемых источников энергии в наших странах, включая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биотопливо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гидроэнергию, солнечную энергию и энергию ветра. Мы приветствуем продолжение сотрудничества между нашими странами в области энергетики. Мы отмечаем проведение IV Встречи министров энергетики стран БРИКС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принятие Положения о деятельности Платформы энергетических исследований БРИКС, которая будет способствовать дальнейшему развитию нашего сотрудничества, более активному обмену мнениями и передовым опытом, а также внесет значительный вклад в глобальные исследования в области энергетики.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57. Мы приветствуем IX Встречу министров здравоохранения стран БРИКС и Совместную программу исследований туберкулеза, разработанную Сетью БРИКС по исследованию туберкулеза в 2019 году и направленную на продвижение новых НТИ-подходов к решению проблемы туберкулеза, посредством поддержки научных проектов по широкому кругу вопросов, связанных с туберкулезом. Мы также приветствуем создание Сети банков донорского молока в странах БРИКС, как было предложено в ходе первого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Семинара по вопросам банков донорского молока. Мы подчеркиваем важность совместных действий по содействию исследованиям и разработке лекарств и средств диагностики в целях прекращения эпидемий, борьбы с инфекционными заболеваниями и упрощения доступа к безопасным, эффективным, качественным и недорогим базовым медицинским препаратам, а также по повышению эффективности мер предупреждения неинфекционных заболеваний.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58. Мы приветствуем итоги заседаний министров финансов и руководителей центральных банков стран БРИКС, состоявшихся в апреле и октябре «на полях» совещаний Международного валютного фонда и Группы Всемирного банка. Мы с удовлетворением отмечаем продолжение развития сотрудничества по финансовым вопросам. Мы подчеркиваем важность расширения финансового сотрудничества в рамках БРИКС в целях содействия реальному сектору экономики и удовлетворения потребностей всех слоев населения в области развития.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59. Мы отмечаем прогресс, достигнутый таможенными службами стран БРИКС в области подготовки проекта Соглашения о взаимной помощи стран БРИКС в сфере таможенных вопросов, и поручаем нашим соответствующим компетентным органам обеспечить его скорейшее заключение и вступление в силу. Мы также приветствуем значительный прогресс, достигнутый в осуществлении Стратегической программы таможенного сотрудничества стран БРИКС, в частности Программы БРИКС по уполномоченным экономическим операторам, которая должна быть запущена в конце 2022 года, включая взаимное признание процедур таможенного контроля и экономических операторов. Мы также отмечаем успешную практику создания Таможенных тренировочных центров БРИКС и поручаем соответствующим компетентным органам придерживаться такого подхода в будущем. Мы признаем потенциал Комитета таможенного сотрудничества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стран БРИКС и призываем продолжать взаимодействие в рамках объединения и на соответствующих международных площадках по вопросам упрощения процедур торговли,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контроля за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соблюдением законодательства, использования современных технологий и наращивания потенциала.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60. Мы поддерживаем усилия по увеличению объемов торговли и признаем, что такая практика, как занижение сумм в счетах-фактурах, негативно отражается на торгово-промышленной политике и сборе налогов и должна быть устранена.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61. Мы отмечаем стабильную поддержку налоговыми органами стран БРИКС выполнения мировых стандартов прозрачности и обмена информацией, а также минимальных стандартов противодействия размыванию налоговой базы и выводу прибыли из-под налогообложения (BEPS). Мы по-прежнему привержены решению проблем в области налогообложения, возникающих в связи с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цифровизацией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экономики. Мы ожидаем дальнейшего прогресса в дискуссии о двухуровневом подходе, разработанном группой «Инклюзивный механизм BEPS». Мы приветствуем недавние успехи в области обеспечения прозрачности налогообложения, в том числе прогре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сс в сф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ере автоматизированного обмена информацией в целях налогообложения. Мы призываем все юрисдикции подписать и ратифицировать Многостороннюю конвенцию о взаимной административной помощи по налоговым делам. Мы обязуемся активизировать усилия по противодействию размыванию налоговой базы и выводу прибыли из-под налогообложения, обмену информацией по вопросам налогообложения и наращиванию потенциала развивающихся стран с учетом их потребностей. Мы твердо намерены продолжать развивать обмен опытом, передовыми практиками и кадрами, а также совместные образовательные программы по вопросам налогообложения.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62.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Мы приветствуем положительные итоги IX Встречи министров торговли БРИКС, реализуемые в рамках текущей деятельности Контактной группы БРИКС по торгово-экономическим вопросам, и их усилия по развитию нашего взаимодействия по таким вопросам, как инвестиции, электронная торговля, малые, средние и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микропредприятия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права интеллектуальной собственности, в сотрудничестве со специализированными службами по интеллектуальной собственности стран БРИКС.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также приветствуем подписание Меморандума о взаимопонимании между национальными агентствами/организациями по содействию торговле и инвестициям.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63. Мы поддерживаем позицию министров торговли стран БРИКС о том, что для повышения объемов экономического роста и устойчивости необходимы решительные скоординированные действия на международном уровне.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Увеличение объемов торговли может способствовать глобальному экономическому росту, однако для решения проблемы дефицита спроса в мировой экономике необходимы дополнительные источники роста, которые должны включать инвестиции в инфраструктуру, в том числе в цифровую инфраструктуру, повышение квалификации кадров, в особенности молодежи, инвестиции в проекты устойчивого развития, инвестиции в развитие основных услуг на местах и внешние инвестиции в регионы с высоким потенциалом экономического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роста, в том числе на Африканском континенте.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64. Мы подтверждаем свою приверженность борьбе с коррупцией, в частности посредством совершенствования национального законодательства, в случае необходимости, в целях эффективного рассмотрения дел о коррупции. Мы по-прежнему намерены принимать меры по обеспечению честности и неподкупности в государственном секторе и продвижению стандартов честности и неподкупности в частных компаниях, а также принятия более твердых глобальных обязательств по формированию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культуры нетерпимости по отношению к коррупции. Мы продолжим наше сотрудничество по вопросам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контроля за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соблюдением антикоррупционного законодательства и возвращения активов, в том числе по вопросам гражданских и административных процедур. Мы постараемся извлечь максимальную пользу от Встречи экспертов стран БРИКС по проблематике возвращения преступных активов и активизировать обмен опытом и сотрудничество между странами БРИКС по делам о возвращении активов. Мы будем продолжать обмен мнениями в рамках таких многосторонних форматов, как конференции государств-участников Конвенции ООН против коррупции и Рабочая группа по борьбе с коррупцией «Группы двадцати», с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тем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чтобы объединить усилия по отказу в предоставлении убежищ для лиц, виновных в экономических и коррупционных преступлениях, и содействия репатриации доходов, полученных преступным путем.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65. Мы признаем итоги V Встречи министров окружающей среды стран БРИКС, посвященной теме «Эффективное управление городской средой для повышения качества жизни городского населения».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Мы подчеркиваем важное значение инициатив по развитию сотрудничества стран БРИКС по вопросам окружающей среды, которые способствуют повышению качества жизни городского населения посредством обмена знаниями и опытом по таким важным вопросам, как утилизация отходов, циркулярная экономика в контексте устойчивого потребления и производства, санитария и качество воды, качество городского воздуха и городские зеленые зоны.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приветствуем предложение Российской Федерации о включении в программу «Чистые реки БРИКС» нового аспекта, касающегося объединения наших усилий по противодействию замусориванию морей.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66. Мы приветствуем итоги IX Встречи министров сельского хозяйства стран БРИКС. Будучи ведущими производителями сельскохозяйственной продукции в мире и странами с большой численностью населения, мы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подчеркиваем важность сотрудничества стран БРИКС в области сельского хозяйства. Мы признаем важность применения в сельском хозяйстве научно-обоснованных данных и внедрение ИКТ для этих целей. Мы подчеркиваем необходимость обеспечения продовольственной безопасности, безопасности питания, решения проблемы недоедания, искоренения голода и нищеты посредством увеличения объемов сельхозпроизводства, производительности, рационального использования природных ресурсов и торговли сельхозпродукцией между странами БРИКС.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67. Мы приветствуем итоги V Встречи министров труда и занятости стран БРИКС, посвященной теме «БРИКС: Экономический рост для инновационного будущего». Мы отмечаем преобразования на рынке труда, вызванные глобализацией, технологическими инновациями, демократическими изменениями и другими аспектами, а также связанные с ними возможности и проблемы. Мы с удовлетворением отмечаем успешное сотрудничество в рамках БРИКС по вопросам будущего сферы труда, качественной и производительной занятости в целях создания устойчивой системы социального страхования, и обмен данными о рынках труда. Мы подчеркиваем, что рынки труда должны быть более гибкими и инклюзивными.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68. Мы признаем роль, которую играет сотрудничество в области культуры в повышении взаимопонимания между народами. Мы приветствуем итоги IV Встречи министров культуры стран БРИКС и их усилия по дальнейшей активизации культурных обменов. Мы ожидаем продолжения сотрудничества по вопросам культуры, включая реализацию инициативы стран БРИКС в области кинематографии и совместного кинопроизводства. Мы приветствуем организацию IV Кинофестиваля стран БРИКС.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69. Мы вновь заявляем о важности гуманитарных обменов для улучшения взаимопонимания, дружбы и сотрудничества между людьми и выражаем удовлетворение относительно проведения ряда встреч и мероприятий по вопросам культуры, управления, искусства, спорта, СМИ, кинематографии, молодежи и научных обменов.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70. Мы приветствуем обмены парламентскими делегациями стран БРИКС и с удовлетворением отмечаем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проведениеПарламентского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форума БРИКС «на полях» Ассамблеи Межпарламентского союза в октябре с. г. Мы признаем важность такого рода сотрудничества в укреплении партнерских отношений между странами БРИКС.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71. Мы также отмечаем проведение Семинара высших судебных органов и экспертов стран БРИКС для обмена передовым опытом в целях модернизации и усовершенствования судебных систем в странах БРИКС.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72. Россия, Индия, Китай и ЮАР высоко оценивают председательство Бразилии в БРИКС в 2019 году и искренне благодарят правительство и народ Бразилии за проведение Одиннадцатого саммита БРИКС в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73. Бразилия, Индия, Китай и ЮАР готовы оказать всяческую поддержку России в ходе ее председательства в БРИКС в 2020 году и в проведении Двенадцатого саммита БРИКС в Санкт-Петербурге.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ПРИЛОЖЕНИЯ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Приложение I: Результаты сотрудничества в БРИКС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Следующие итоговые документы, инициативы или механизмы были одобрены или подписаны: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1. Совместное заявление для СМИ по итогам неформальной встречи лидеров БРИКС «на полях» саммита «Группы двадцати»;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 Совместное заявление для СМИ по итогам Полноформатного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заседания министров иностранных дел/международных отношений стран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БРИКС (СМИД БРИКС);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3. Совместное заявление для СМИ по итогам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Встречи министров иностранных дел/международных отношений стран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БРИКС (СМИД БРИКС «на полях» 74-й сессии ГА ООН);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4. Совместное коммюнике по итогам Встречи министров здравоохранения стран БРИКС в Женеве;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5. Декларация по итогам V Встречи министров связи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6. Совместное заявление по итогам V Встречи министров окружающей среды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7. Решение о развитии сотрудничества между министрами окружающей среды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8. Совместное заявление по итогам Встречи министров труда и занятости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9. «Декларация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Кампинаса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» – Совместное заявление по итогам VII Встречи министров науки, технологий и инноваций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10. Рамочный документ, регламентирующий деятельность Сети инновационных исследований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11. Документ о Новой архитектуре БРИКС в сфере науки, технологий и инноваций;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12. Календарь мероприятий стран БРИКС на 2019–2020 гг. по вопросам науки, технологий и инноваций;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13. Рабочий план стран БРИКС в области науки, технологий и инноваций на 2019–2020 гг.;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14. «Декларация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Бонито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» – Совместное заявление по итогам Встречи министров сельского хозяйства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15. Совместное заявление по итогам IV Встречи министров культуры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16. Совместное заявление по итогам IX Встречи министров здравоохранения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17. Совместное заявление по итогам Встречи министров экономики и внешней торговли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18. Совместное заявление по итогам IV Встречи министров энергетики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19. Совместное заявление по итогам Консультативного совещания по Ближнему Востоку и Северной Африке на уровне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заместителей министров иностранных дел/спецпредставителей стран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20. Положение о Платформе энергетических исследований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21. Меморандум о взаимопонимании между национальными агентствами по содействию по торговле и инвестициям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22. Меморандум о взаимопонимании по вопросам привлечения частных инвестиций между Банками развития стран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23. Декларация Первой встречи по вопросам банков донорского молока в странах БРИКС;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24. Первая встреча Антикоррупционной рабочей группы (АКГ) стран БРИКС по проблематике возвращения преступных активов;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25. Положение о Консультативной группе Партнерства БРИКС по вопросам Новой промышленной революции;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26. План работы Партнерства БРИКС по вопросам Новой промышленной революции;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27. Семинар о стратегиях стран БРИКС по борьбе с терроризмом;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28. Создание рабочих подгрупп РГАТ по борьбе с терроризмом;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29. Создание Сети БРИКС по вопросам банков донорского молока;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30. Программа совместных исследований туберкулеза.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Приложение II: Встречи, проведенные в рамках бразильского председательства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В рамках бразильского председательства в БРИКС были проведены следующие встречи: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Встречи лидеров: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1. Неформальная встреча лидеров БРИКС «на полях» саммита «Группы двадцати»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.О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сака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28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2. XI саммит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13–14 ноября 2019 г.).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Министерские встречи: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1. IV Ежегодная встреча Совета управляющих НБР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ейптаун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1–2 апреля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2. Совещание министров финансов и управляющих центральных банков стран БРИКС («на полях» весенней сессии Международного валютного фонда и группы Всемирного банка)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.В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ашингтон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11 апреля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3. Ужин министров здравоохранения стран БРИКС («на полях» 72-й сессии Всемирной ассамблеи здравоохранения)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.Ж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енева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20 мая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4. III Полноформатное заседание министров иностранных дел/международных отношений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26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5. Встреча министров связи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14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6. Встреча министров окружающей среды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.С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-Паулу, 15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7. Встреча министров труда и занятости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19–20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8. VII Встреча министров науки, технологий и инноваций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ампинас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20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9. Встреча министров сельского хозяйства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онито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25–26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10. Встреча министров иностранных дел/международных отношений стран БРИКС «на полях» 74-й сессии ГА ООН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ью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-Йорк, 26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11. IV Встреча министров культуры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уритиба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11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12. Встреча министров финансов и управляющих центральных банков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.В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ашингтон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13. Встреча Высоких представителей государств БРИКС, курирующих вопросы безопасности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17–18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14. IX Встреча министров здравоохранения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уритиба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25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15. Встреча министров экономики и внешней торговли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11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16. IV Встреча министров энергетики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11 ноября 2019 г.).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Встречи старших должностных лиц/рабочих групп/экспертов: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1. Встречи заместителей министров финансов и заместителей управляющих центральных банков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.Т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окио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16 января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2. Первая встреча Антикоррупционной рабочей группы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.Т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окио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21 января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3. Встреча Целевой рабочей группы стран БРИКС по вопросам государственно-частного партнерства и развития инфраструктуры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.С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ингапур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31 января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4. IV Заседание Сети БРИКС по исследованию туберкулеза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19–21 февраля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5. Первое заседание шерп/су-шерп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уритиба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13–15 марта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6. Встреча Целевой рабочей группы стран БРИКС по вопросам государственно-частного партнерства и развития инфраструктуры(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ельбурн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19 марта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7. Техническая встреча национальных статистических ведомств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20–21 марта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8. Неформальная встреча Рабочей группы стран БРИКС по вопросам занятости («на полях» совещания руководящих органов Международной организации труда и занятости)(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.Ж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енева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25 марта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9. Координационное совещание стран БРИКС «на полях» заседания Комиссии по народонаселению и развитию(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ью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-Йорк, 4 апреля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10. Наблюдательный комитет Фонда облигаций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.В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ашингтон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11 апреля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11. Встреча глав ведомств по интеллектуальной собственности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ейптаун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14–16 апреля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12. Ежегодная международная конференция «Цифровая трансформация: фокус на IP»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осква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23–24 апреля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13. Встреча Целевой рабочей группы стран БРИКС по вопросам государственно-частного партнерства и развития инфраструктуры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осква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25 апреля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14. III Встреча Рабочей группы по развитию предпринимательства и инновационного партнерства в научно-технологической сфере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ос-ду-Игуасу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13–14 мая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15. III Встреча Рабочей группы БРИКС по ИКТ и высокопроизводительным вычислительным системам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ос-ду-Игуасу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13–14 мая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16. Встреча экспертов стран БРИКС по проблематике возвращения преступных активов («на полях» встречи Межправительственной рабочей </w:t>
      </w: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группы по проблематике возвращения преступных активов в рамках Конвенции ООН против коррупции),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.В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ена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28 мая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17. XX Заседание Контактной группы БРИКС по торгово-экономическим вопросам (КГТЭВ),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29–30 мая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18. Техническая встреча «на полях» VII сессии Комитета Всемирного наследия ЮНЕСКО Конференции сторон Конвенции 2005 г. об охране и поощрении разнообразия форм культурного самовыражения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.П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ариж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5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19. Встреча заместителей министров финансов и заместителей управляющих центральных банков стран БРИКС («на полях» встречи «Группы двадцати»),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.Ф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укуока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8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20. Встреча старших должностных лиц Платформы энергетических исследований БРИКС(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осква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17–18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21. Неформальная встреча Рабочей группы стран БРИКС по вопросам занятости («на полях» сессии Международной конференции труда Международной организации труда),(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.Ж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енева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25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22. II Заседание шерп/су-шерп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.О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сака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26–27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23. IV Заседание Сети БРИКС по исследованию туберкулеза(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.П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екин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2–3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24. Консультации по Ближнему Востоку и Северной Африки на уровне заместителей министров иностранных дел/специальных представителей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4–5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25. VI Заседание Рабочей группы БРИКС по твердотельным (светодиодным) источникам света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.П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екин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8–11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26. Встреча руководителей таможенных служб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уритиба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16–19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27. Встреча заместителей министров сельского хозяйства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17–18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28. Механизм межбанковского сотрудничества БРИКС (ММС БРИКС) – Встречи Технической и Рабочей групп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22–25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39. III Заседание шерп/су-шерп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22–25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30. Семинар о стратегиях стран БРИКС в борьбе с терроризмом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29–31 июля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31. II Заседание Рабочей группы стран БРИКС по исследованию проблем конкуренции на цифровых рынках («на полях» Международной конференции «Разработка антимонопольного законодательства в эпоху цифровых технологий»),(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31 июля – 1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32. Заседание Рабочей группы стран БРИКС по антитеррору (РГАТ)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1–2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33. III Заседание Рабочей группы стран БРИКС по сотрудничеству в океанической и полярной зонах исследований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осква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1–2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34. Заседание Рабочей группы стран БРИКС по окружающей среде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12–13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35. Встреча Совета Института БРИКС по изучению сетей будущего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12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36. Заседание Рабочей группы стран БРИКС по вопросам сотрудничества в области информационно-коммуникационных технологий (ИКТ)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37. Заседание Рабочей группы экспертов (РГЭ) БРИКС по вопросам безопасности в сфере использования ИКТ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21–22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38. Семинар по вопросам банков донорского молока в странах БРИКС (приурочен к Всемирной неделе грудного вскармливания – 1–7 августа 2019 г.),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26–30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39. XXI Заседание Контактной группы БРИКС по торгово-экономическим вопросам (КГТЭВ)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29–30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40. Видеоконференция по вопросам культуры (29 августа 2019 г. в продолжение встречи, состоявшейся 5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41. V Заседание Рабочей группы БРИКС по финансированию науки, технологий и инноваций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ампинас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16–17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42. II Встреча Консультативной группы Партнерства БРИКС по вопросам Новой промышленной революции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16–17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43. V Заседание Рабочей группы БРИКС по вопросам занятости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16–18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44. VI Международная конференция по конкуренции под эгидой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осква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16–19 сентября,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45.Сеть исследовательских институтов труда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17–18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46. IX Встреча старших должностные лиц в области науки, технологий и инноваций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ампинас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19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47. IV Заседание шерп/су-шерп стран БРИКС («на полях» 74-й сессии ГА ООН),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ью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-Йорк, 23–24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48. IV Заседание Рабочей группы БРИКС по астрономии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29 сентября – 2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49. Встреча глав ведомств по интеллектуальной собственности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.Ж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енева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50. VI Встреча старших должностных лиц по вопросам культуры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уритиба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10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51. Заседание Постоянного комитета Пула условных валютных резервов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.В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ашингтон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52. Заседание Совета управляющих Пула условных валютных резервов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.В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ашингтон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53. Форум стран БРИКС по умному производству и Партнерству БРИКС по вопросам новой промышленной революции(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анкин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18–19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54. XXII Заседание Контактной группы БРИКС по торгово-экономическим вопросам (КГТЭВ)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22–23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55. V Встреча ведомств стран БРИКС по контролю качества медицинской продукции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23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56. Встреча старших должностных лиц стран БРИКС по вопросам здравоохранения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уритиба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23–24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57. Неформальная встреча глав правовых департаментов министерств иностранных дел/международных отношений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ью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-Йорк, 31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58. Неформальная встреча Сети БРИКС по исследованию туберкулеза («на полях» Всемирной конференции по здоровью легких),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.Х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айдарабад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30 октября – 2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59. VI Встреча Сети БРИКС по исследованию туберкулеза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ью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-Дели, 4–5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60. IV Форум молодых ученых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6–8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61. Встреча старших должностных лиц стран БРИКС по вопросам энергетики(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8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62. V Заседание шерп/су-шерп стран БРИКС (в привязке к XI саммиту БРИКС)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9–12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63. V Заседание глав Форума экспортных кредитных агентств (ЭКА)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10–11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64. Встреча глав банков-участников Механизма межбанковского сотрудничества БРИКС (ММС БРИКС)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11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65. Встреча Экспертной группы БРИКС по таможенным вопросам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11–14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66. Семинар по Новому банку развития (НБР)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 ноября 2019 г.).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Встречи и мероприятия по гуманитарной линии, между 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бизнес-сообществами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в сфере судебной и законотворческой деятельности: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1. Турнир стран БРИКС по международному военному пятиборью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19–22 марта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2. Промежуточная встреча Делового совета (ДС)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.Й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оханнесбург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3–4 апреля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3. III Международный фестиваль театральных школ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осква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29 мая – 7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4. III Международный фестиваль «Студенческая весна стран БРИКС и ШОС»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.С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таврополь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4–9 июня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5. Встреча предпринимателей стран БРИКС (B2B)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 августа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6. Встреча Совета экспертных центров (СЭЦ)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10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7. Академический форум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11–12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8. VIII Профсоюзный форум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17–18 сентября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9. XIV Международная биеннале современного искусства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уритиба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21 сентября 2019 г. – 23 февраля 2020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10. IV Кинофестиваль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итерой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23 сентября – 9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11. Бизнес-форум IV Кинофестиваля стран БРИКС(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.Н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итерой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30 сентября – 1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12. II Саммит Молодежного энергетического агентства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.М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осква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5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13. III Онлайн-олимпиада «BRICSMATH.COM» по математике для учеников начальной школы (12 октября – 13 декабря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14. V Многосторонняя миротворческая культурно-исследовательская экспедиция «Великие учителя БРИКС»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12–19 октября 2019 г.).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15. VI Юридический форум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14–16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16. Парламентский форум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елград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16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17. V Молодежный саммит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17–20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18. Семинар высших судебных органов и экспертов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24–25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19. III Семинар БРИКС по вопросам управления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28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20. III Конференция БРИКС в Университете Сан-Паулу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.С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-Паулу, 28–30 октября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21. IV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Медиафорум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.С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ан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-Паулу, 30–31 октября 2019 г.)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22. Встреча академий наук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4–5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23. Семинар «10 лет БРИКС: итоги и перспективы»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6–8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24. Приветственное мероприятие Парламентского фронта БРИКС Национального конгресса Бразилии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12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25. Финансовый форум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.Р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ио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-де-Жанейро, 12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26. Заседания девяти Рабочих групп Делового совета (ДС) БРИКС(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27. Ежегодное заседание Делового совета (ДС)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28. Деловой форум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13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29. Конференция БРИКС по профессиям будущего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разилиа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14 ноября 2019 г.).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Мероприятия, запланированные к проведению в ходе бразильского председательства в БРИКС в 2019 году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Встречи старших должностных лиц/рабочих групп/экспертов: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1. III Заседание Рабочей группы стран БРИКС по биотехнологиям и биомедицине, в том числе по вопросам здоровья человека и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нейробиологии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(Бразильская национальная лаборатория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бионаук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.К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ампинас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26–27 ноября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 II Заседание Рабочей группы стран БРИКС по исследовательской инфраструктуре и проектам класса 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мегасаенс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.Ш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анхай</w:t>
      </w:r>
      <w:proofErr w:type="spell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, 4–6 декабря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val="en-US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3. IV Заседание шерп/су-шерп стран БРИКС (</w:t>
      </w:r>
      <w:proofErr w:type="spell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Start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.Б</w:t>
      </w:r>
      <w:proofErr w:type="gramEnd"/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азилиа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, 12–13 декабря 2019 г.);</w:t>
      </w:r>
    </w:p>
    <w:p w:rsidR="008E2AF7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val="en-US"/>
        </w:rPr>
      </w:pPr>
    </w:p>
    <w:p w:rsidR="00C2333C" w:rsidRPr="008E2AF7" w:rsidRDefault="008E2AF7" w:rsidP="008E2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2AF7">
        <w:rPr>
          <w:rFonts w:ascii="Times New Roman" w:eastAsia="Times New Roman" w:hAnsi="Times New Roman" w:cs="Times New Roman"/>
          <w:color w:val="020C22"/>
          <w:sz w:val="28"/>
          <w:szCs w:val="28"/>
        </w:rPr>
        <w:t>В общей сложности в ходе бразильского председательства в БРИКС было проведено в общей сложности 116 мероприятий.</w:t>
      </w:r>
    </w:p>
    <w:sectPr w:rsidR="00C2333C" w:rsidRPr="008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D"/>
    <w:rsid w:val="008E2AF7"/>
    <w:rsid w:val="00C2333C"/>
    <w:rsid w:val="00D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7048336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70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35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9554</Words>
  <Characters>54463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2019-11-15T13:10:00Z</dcterms:created>
  <dcterms:modified xsi:type="dcterms:W3CDTF">2019-11-15T13:10:00Z</dcterms:modified>
</cp:coreProperties>
</file>